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sz w:val="36"/>
          <w:szCs w:val="36"/>
        </w:rPr>
      </w:pPr>
      <w:r>
        <w:rPr>
          <w:color w:val="000000"/>
          <w:sz w:val="36"/>
          <w:szCs w:val="36"/>
        </w:rPr>
        <w:t xml:space="preserve">Obec Chlum-Korouhvice    Chlum 21  592 65 Rovečné,602129866 e-mail: chlumkorouhvice@seznam.cz Číslo spisu Číslo jednací Vyřizuje: E-mail: Telefon: Datum: Inf. </w:t>
      </w:r>
      <w:r>
        <w:rPr>
          <w:color w:val="000000"/>
          <w:sz w:val="36"/>
          <w:szCs w:val="36"/>
        </w:rPr>
        <w:t>4</w:t>
      </w:r>
      <w:r>
        <w:rPr>
          <w:color w:val="000000"/>
          <w:sz w:val="36"/>
          <w:szCs w:val="36"/>
        </w:rPr>
        <w:t xml:space="preserve">/2022  Vyřizuje Maršálková Zdenka účetní </w:t>
      </w:r>
    </w:p>
    <w:p>
      <w:pPr>
        <w:pStyle w:val="Normal"/>
        <w:spacing w:before="0" w:after="200"/>
        <w:rPr>
          <w:sz w:val="36"/>
          <w:szCs w:val="36"/>
        </w:rPr>
      </w:pPr>
      <w:r>
        <w:rPr>
          <w:color w:val="000000"/>
          <w:sz w:val="36"/>
          <w:szCs w:val="36"/>
        </w:rPr>
        <w:t xml:space="preserve"> </w:t>
      </w:r>
      <w:r>
        <w:rPr>
          <w:color w:val="000000"/>
          <w:sz w:val="36"/>
          <w:szCs w:val="36"/>
        </w:rPr>
        <w:t>Oznámení o odložení žádosti o poskytnutí informace dle ustanovení § 14 odst. 5 písm. c) zákona č. 106/1999 Sb., o svobodném přístupu k informacím, ve znění pozdějších předpisů .</w:t>
      </w:r>
    </w:p>
    <w:p>
      <w:pPr>
        <w:pStyle w:val="Normal"/>
        <w:spacing w:before="0" w:after="200"/>
        <w:rPr>
          <w:sz w:val="36"/>
          <w:szCs w:val="36"/>
        </w:rPr>
      </w:pPr>
      <w:r>
        <w:rPr>
          <w:color w:val="000000"/>
          <w:sz w:val="36"/>
          <w:szCs w:val="36"/>
        </w:rPr>
        <w:t xml:space="preserve">                                                                </w:t>
      </w:r>
      <w:r>
        <w:rPr>
          <w:color w:val="000000"/>
          <w:sz w:val="36"/>
          <w:szCs w:val="36"/>
        </w:rPr>
        <w:t>Dr. Ivana Tůmová</w:t>
      </w:r>
    </w:p>
    <w:p>
      <w:pPr>
        <w:pStyle w:val="Normal"/>
        <w:spacing w:before="0" w:after="200"/>
        <w:rPr>
          <w:sz w:val="36"/>
          <w:szCs w:val="36"/>
        </w:rPr>
      </w:pPr>
      <w:r>
        <w:rPr>
          <w:color w:val="000000"/>
          <w:sz w:val="36"/>
          <w:szCs w:val="36"/>
        </w:rPr>
        <w:t xml:space="preserve">                                                                </w:t>
      </w:r>
      <w:r>
        <w:rPr>
          <w:color w:val="000000"/>
          <w:sz w:val="36"/>
          <w:szCs w:val="36"/>
        </w:rPr>
        <w:t>Tovární 160</w:t>
      </w:r>
    </w:p>
    <w:p>
      <w:pPr>
        <w:pStyle w:val="Normal"/>
        <w:spacing w:before="0" w:after="200"/>
        <w:rPr>
          <w:sz w:val="36"/>
          <w:szCs w:val="36"/>
        </w:rPr>
      </w:pPr>
      <w:r>
        <w:rPr>
          <w:color w:val="000000"/>
          <w:sz w:val="36"/>
          <w:szCs w:val="36"/>
        </w:rPr>
        <w:t xml:space="preserve">                                                                 </w:t>
      </w:r>
      <w:r>
        <w:rPr>
          <w:color w:val="000000"/>
          <w:sz w:val="36"/>
          <w:szCs w:val="36"/>
        </w:rPr>
        <w:t>471 54 Cvíkov</w:t>
      </w:r>
    </w:p>
    <w:p>
      <w:pPr>
        <w:pStyle w:val="Normal"/>
        <w:spacing w:before="0" w:after="200"/>
        <w:rPr>
          <w:sz w:val="36"/>
          <w:szCs w:val="36"/>
        </w:rPr>
      </w:pPr>
      <w:r>
        <w:rPr>
          <w:color w:val="000000"/>
          <w:sz w:val="36"/>
          <w:szCs w:val="36"/>
        </w:rPr>
        <w:t>Obec Chlum-Korouhvice ,jako povinný subjekt podle § 2 odst. 1 zák. čís. 106/1999 Sb., o svobodném přístupu k informacím, ve znění pozdějších předpisů (dále jen „InfZ“) obdržel dne 2</w:t>
      </w:r>
      <w:r>
        <w:rPr>
          <w:color w:val="000000"/>
          <w:sz w:val="36"/>
          <w:szCs w:val="36"/>
        </w:rPr>
        <w:t>7</w:t>
      </w:r>
      <w:r>
        <w:rPr>
          <w:color w:val="000000"/>
          <w:sz w:val="36"/>
          <w:szCs w:val="36"/>
        </w:rPr>
        <w:t>.0</w:t>
      </w:r>
      <w:r>
        <w:rPr>
          <w:color w:val="000000"/>
          <w:sz w:val="36"/>
          <w:szCs w:val="36"/>
        </w:rPr>
        <w:t>6</w:t>
      </w:r>
      <w:r>
        <w:rPr>
          <w:color w:val="000000"/>
          <w:sz w:val="36"/>
          <w:szCs w:val="36"/>
        </w:rPr>
        <w:t xml:space="preserve">.2022 žádost paní Dr. Ivany Timové, bytem Tovární 160, Cvikov, o poskytnutí informace podle informačního zákona. Předmětem žádosti byly informace  </w:t>
      </w:r>
      <w:r>
        <w:rPr>
          <w:color w:val="000000"/>
          <w:sz w:val="36"/>
          <w:szCs w:val="36"/>
        </w:rPr>
        <w:t>vysvětlení skrytého pozadí  kauzy náměstka primátora Hlub</w:t>
      </w:r>
      <w:r>
        <w:rPr>
          <w:color w:val="000000"/>
          <w:sz w:val="36"/>
          <w:szCs w:val="36"/>
        </w:rPr>
        <w:t>u</w:t>
      </w:r>
      <w:r>
        <w:rPr>
          <w:color w:val="000000"/>
          <w:sz w:val="36"/>
          <w:szCs w:val="36"/>
        </w:rPr>
        <w:t>čeka.</w:t>
      </w:r>
    </w:p>
    <w:p>
      <w:pPr>
        <w:pStyle w:val="Normal"/>
        <w:spacing w:before="0" w:after="200"/>
        <w:rPr>
          <w:sz w:val="36"/>
          <w:szCs w:val="36"/>
        </w:rPr>
      </w:pPr>
      <w:r>
        <w:rPr>
          <w:color w:val="000000"/>
          <w:sz w:val="36"/>
          <w:szCs w:val="36"/>
        </w:rPr>
        <w:t>Vážené dámy a pánové, v příloze Vám zasílám vysvětlení skrytého pozadí kauzy náměstka primátora Hlubučeka. Mělo by to být nazýváno spíše další kauzou Lenky Bradáčové a spiklenecké protistátní skupiny, která zneužívá státní ozbrojenou moc k politickým a zrůdně korupčním účelům.</w:t>
      </w:r>
    </w:p>
    <w:p>
      <w:pPr>
        <w:pStyle w:val="Normal"/>
        <w:spacing w:before="0" w:after="200"/>
        <w:rPr>
          <w:sz w:val="36"/>
          <w:szCs w:val="36"/>
        </w:rPr>
      </w:pPr>
      <w:r>
        <w:rPr>
          <w:color w:val="000000"/>
          <w:sz w:val="36"/>
          <w:szCs w:val="36"/>
        </w:rPr>
        <w:t xml:space="preserve"> </w:t>
      </w:r>
      <w:r>
        <w:rPr>
          <w:color w:val="000000"/>
          <w:sz w:val="36"/>
          <w:szCs w:val="36"/>
        </w:rPr>
        <w:t xml:space="preserve">Politická strana STAN, která byla po volbách dosazena na ministerstvo vnitra, již určitě nesplní hlavní úkol a požadavek občanů a totiž pozatýkání celé protistátní a zrůdné mafie kolem Lenky Bradáčové, která se dopouští vedle nejděsivější korupce vůbec, také i vražedného STÁTNÍHO TERORU. Organizování nájemných vrahů placených ze státního rozpočtu a dokonce i střelbu z pistole s tlumičem na malé české nemluvně !!! </w:t>
      </w:r>
    </w:p>
    <w:p>
      <w:pPr>
        <w:pStyle w:val="Normal"/>
        <w:spacing w:before="0" w:after="200"/>
        <w:rPr>
          <w:sz w:val="36"/>
          <w:szCs w:val="36"/>
        </w:rPr>
      </w:pPr>
      <w:r>
        <w:rPr>
          <w:color w:val="000000"/>
          <w:sz w:val="36"/>
          <w:szCs w:val="36"/>
        </w:rPr>
        <w:t>Operací Hlubuček má být politická strana STAN v podstatě přikolíkována, aby pomocí mimořádných prostředků centrální státní správy nemohlo proběhnout pozatýkání špiček či hlav nejděsivější mafie v dějinách Československa, která se vyhýbá spravedlnosti a drží se u moci pouze nepředstavitelnou korupcí.</w:t>
      </w:r>
    </w:p>
    <w:p>
      <w:pPr>
        <w:pStyle w:val="Normal"/>
        <w:spacing w:before="0" w:after="200"/>
        <w:rPr>
          <w:sz w:val="36"/>
          <w:szCs w:val="36"/>
        </w:rPr>
      </w:pPr>
      <w:r>
        <w:rPr>
          <w:color w:val="000000"/>
          <w:sz w:val="36"/>
          <w:szCs w:val="36"/>
        </w:rPr>
        <w:t xml:space="preserve"> </w:t>
      </w:r>
      <w:r>
        <w:rPr>
          <w:color w:val="000000"/>
          <w:sz w:val="36"/>
          <w:szCs w:val="36"/>
        </w:rPr>
        <w:t>Nyní neutralizací či přikolíkováním STANu realizovala vraždící zločinecká banda totální korupci demokratického společenského zřízení.</w:t>
      </w:r>
    </w:p>
    <w:p>
      <w:pPr>
        <w:pStyle w:val="Normal"/>
        <w:spacing w:before="0" w:after="200"/>
        <w:rPr>
          <w:sz w:val="36"/>
          <w:szCs w:val="36"/>
        </w:rPr>
      </w:pPr>
      <w:r>
        <w:rPr>
          <w:color w:val="000000"/>
          <w:sz w:val="36"/>
          <w:szCs w:val="36"/>
        </w:rPr>
        <w:t xml:space="preserve">Je naprosto jisté, že se jedná o korupci. Před tím, než by kdy NCOZ zatýkal Hlubučeka, musel by stokrát zatknout Lenku Bradáčovou, ta má být dávno ve vazbě a nikoliv zde vystupovat jako nějaký obskurní justiční orgán. Účelové jednání celé zločinecké bandy je vidět od prvních minut odehrávání se údajné trestní věci, okamžitě byly zveřejňovány podrobnosti, jak se skupina či sám Hlubuček bránili odposlechům, jako kdyby to bylo něco trestného, jako kdyby se měl někdo radovat z toho, že je odposloucháván, spíše je trestuhodné to zneužívání odposlechů. Přestože přípravné řízení je neveřejné, do několika minut byly veškeré sdělovací prostředky či zpravodajské servery plné podrobností ... </w:t>
      </w:r>
    </w:p>
    <w:p>
      <w:pPr>
        <w:pStyle w:val="Normal"/>
        <w:spacing w:before="0" w:after="200"/>
        <w:rPr>
          <w:sz w:val="36"/>
          <w:szCs w:val="36"/>
        </w:rPr>
      </w:pPr>
      <w:r>
        <w:rPr>
          <w:color w:val="000000"/>
          <w:sz w:val="36"/>
          <w:szCs w:val="36"/>
        </w:rPr>
        <w:t xml:space="preserve">Zde zatýká někoho velká zločinecká banda usvědčená z nájemných vražd a ze STÁTNÍHO TERORU ze střelby na nemluvně a oproti tomu je v každém případě případná trestná činnost Hlubučeka naprosto marginální. </w:t>
      </w:r>
    </w:p>
    <w:p>
      <w:pPr>
        <w:pStyle w:val="Normal"/>
        <w:spacing w:before="0" w:after="200"/>
        <w:rPr>
          <w:sz w:val="36"/>
          <w:szCs w:val="36"/>
        </w:rPr>
      </w:pPr>
      <w:r>
        <w:rPr>
          <w:color w:val="000000"/>
          <w:sz w:val="36"/>
          <w:szCs w:val="36"/>
        </w:rPr>
        <w:t xml:space="preserve">Proč není zatknutá Bradáčová? Navíc tato pachatelka odsouzená za nejzávažnější trestnou činnost zde ještě vystupuje jako nějaký "arbitr". Ta má být dávno ve věznici odsouzena na doživotí, za nespočet mrtvých a umučených a nemá mít právo řídit cokoliv, natož státní zastupitelství. </w:t>
      </w:r>
    </w:p>
    <w:p>
      <w:pPr>
        <w:pStyle w:val="Normal"/>
        <w:spacing w:before="0" w:after="200"/>
        <w:rPr>
          <w:sz w:val="36"/>
          <w:szCs w:val="36"/>
        </w:rPr>
      </w:pPr>
      <w:r>
        <w:rPr>
          <w:color w:val="000000"/>
          <w:sz w:val="36"/>
          <w:szCs w:val="36"/>
        </w:rPr>
        <w:t xml:space="preserve">Podmínkou poskytnutí informace ze strany povinného subjektu je splnění předpokladu, že se požadovaná informace vztahuje k jeho působnosti, viz ustanovení § 2 InfZ a č l. 17 odst. 5 Listiny základních práv a svobod (…“ Státní orgány a orgány územní samosprávy jsou povinny přiměřeným způsobem poskytovat informace o své činnosti. Podmínky a provedení stanoví zákon…“ ). Je tedy potřeba vycházet z předpokladu, že povinné subjekty disponují informacemi, které mají většinou základ v zákonném vymezení postavení povinného subjektu. </w:t>
      </w:r>
    </w:p>
    <w:p>
      <w:pPr>
        <w:pStyle w:val="Normal"/>
        <w:spacing w:before="0" w:after="200"/>
        <w:rPr>
          <w:sz w:val="36"/>
          <w:szCs w:val="36"/>
        </w:rPr>
      </w:pPr>
      <w:r>
        <w:rPr>
          <w:color w:val="000000"/>
          <w:sz w:val="36"/>
          <w:szCs w:val="36"/>
        </w:rPr>
        <w:t xml:space="preserve">Vzhledem k tomu, že požadované informace se nevztahují k působnosti povinného subjektu, povinný subjekt tyto informace nemá a ani není povinen je mít k dispozici, nelze takovou informaci žadateli poskytnout a podanou žádost tedy povinný subjekt v souladu s ustanovením § 14 odst. 5 písm. c) InfZ odkládá. </w:t>
      </w:r>
    </w:p>
    <w:p>
      <w:pPr>
        <w:pStyle w:val="Normal"/>
        <w:spacing w:before="0" w:after="200"/>
        <w:rPr>
          <w:sz w:val="36"/>
          <w:szCs w:val="36"/>
        </w:rPr>
      </w:pPr>
      <w:r>
        <w:rPr>
          <w:color w:val="000000"/>
          <w:sz w:val="36"/>
          <w:szCs w:val="36"/>
        </w:rPr>
        <w:t xml:space="preserve">Závěrem povinný subjekt uvádí, že proti odložení žádosti ve smyslu ustanovení § 14 odst. 5, písm. c) InfZ není přípustné odvolání. Stížnost ve smyslu § 16a odst. 1 písm. b) InfZ je přípustná. </w:t>
      </w:r>
    </w:p>
    <w:p>
      <w:pPr>
        <w:pStyle w:val="Normal"/>
        <w:spacing w:before="0" w:after="200"/>
        <w:rPr>
          <w:sz w:val="36"/>
          <w:szCs w:val="36"/>
        </w:rPr>
      </w:pPr>
      <w:r>
        <w:rPr>
          <w:sz w:val="36"/>
          <w:szCs w:val="36"/>
        </w:rPr>
      </w:r>
    </w:p>
    <w:p>
      <w:pPr>
        <w:pStyle w:val="Normal"/>
        <w:spacing w:before="0" w:after="200"/>
        <w:rPr>
          <w:sz w:val="36"/>
          <w:szCs w:val="36"/>
        </w:rPr>
      </w:pPr>
      <w:r>
        <w:rPr>
          <w:color w:val="000000"/>
          <w:sz w:val="36"/>
          <w:szCs w:val="36"/>
        </w:rPr>
        <w:t>Zdenka  Maršálková obec Chlum-Korouhvice</w:t>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sz w:val="36"/>
          <w:szCs w:val="36"/>
        </w:rPr>
      </w:r>
    </w:p>
    <w:p>
      <w:pPr>
        <w:pStyle w:val="Normal"/>
        <w:spacing w:before="0" w:after="200"/>
        <w:rPr>
          <w:sz w:val="36"/>
          <w:szCs w:val="36"/>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098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6e1230"/>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Application>LibreOffice/6.4.4.2$Windows_X86_64 LibreOffice_project/3d775be2011f3886db32dfd395a6a6d1ca2630ff</Application>
  <Pages>5</Pages>
  <Words>610</Words>
  <Characters>3571</Characters>
  <CharactersWithSpaces>4376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2021-05-29T05:41:00Z</dcterms:created>
  <dc:creator>Obec Chlum</dc:creator>
  <dc:description/>
  <dc:language>cs-CZ</dc:language>
  <cp:lastModifiedBy/>
  <cp:lastPrinted>2022-03-04T12:33:35Z</cp:lastPrinted>
  <dcterms:modified xsi:type="dcterms:W3CDTF">2022-06-27T20:15:59Z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